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7918E">
      <w:pPr>
        <w:pStyle w:val="2"/>
        <w:spacing w:before="0"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ДО ОБЩИНСКИ СЪВЕТ</w:t>
      </w:r>
    </w:p>
    <w:p w14:paraId="6396977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ГР. НЕСЕБЪР    </w:t>
      </w:r>
    </w:p>
    <w:p w14:paraId="081AD2B1">
      <w:pPr>
        <w:pStyle w:val="2"/>
        <w:spacing w:before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688926D8">
      <w:pPr>
        <w:pStyle w:val="2"/>
        <w:spacing w:before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5CBDA55E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 Р Е Д Л О Ж Е Н И Е</w:t>
      </w:r>
    </w:p>
    <w:p w14:paraId="6AF314F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335E68E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от Виктор Борисов Борисов – Заместник-кмет на община Несебър</w:t>
      </w:r>
    </w:p>
    <w:p w14:paraId="3BC6716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2791992B">
      <w:pPr>
        <w:pStyle w:val="9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0D1E79D6">
      <w:pPr>
        <w:pStyle w:val="9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ОТНОСНО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: Разрешение за изработване и процедиране на проект за подробен устройствен план – план за застрояване по отношение на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поземлен имот с идентификатор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51500.74.54  по КККР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на град Несебър, местност „Кокалу“,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по реда на чл. 124а, ал. 1 от ЗУТ.</w:t>
      </w:r>
    </w:p>
    <w:p w14:paraId="21DC0FCE">
      <w:pPr>
        <w:pStyle w:val="9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4B441EBF">
      <w:pPr>
        <w:pStyle w:val="9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</w:pPr>
    </w:p>
    <w:p w14:paraId="3E528887">
      <w:pPr>
        <w:pStyle w:val="7"/>
        <w:jc w:val="center"/>
        <w:rPr>
          <w:rFonts w:ascii="Times New Roman" w:hAnsi="Times New Roman"/>
          <w:b/>
          <w:bCs/>
          <w:cap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ap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Уважаеми госпожи и господа общински съветници,</w:t>
      </w:r>
    </w:p>
    <w:p w14:paraId="4DB1A9B2">
      <w:pPr>
        <w:pStyle w:val="9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</w:pPr>
    </w:p>
    <w:p w14:paraId="5330625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44C95057">
      <w:pPr>
        <w:pStyle w:val="9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 общинска администрация Несебър са постъпили заявления вх.№Н2-УТ-5013/19.06.2025г. и вх.№Н2-УТ-2954/27.04.2026г. подадени от „КА-2“ЕООД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, с управител Георги Кехайов, за разрешаване изработване и процедиране на проект за ПУП-ПЗ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по отношение на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поземлен имот с идентификатор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51500.74.54 по КККР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на гр.Несебър,  м.„Кокалу“,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по реда на чл. 124а, ал. 1 от ЗУТ. </w:t>
      </w:r>
    </w:p>
    <w:p w14:paraId="67237FE7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Към заявленията е приложен нотариален акт №18, том Х, рег.№9368, дело №1749/27.07.2021год., видно от съдържанието на които </w:t>
      </w:r>
      <w:r>
        <w:rPr>
          <w:rFonts w:ascii="Times New Roman" w:hAnsi="Times New Roman"/>
          <w:sz w:val="26"/>
          <w:szCs w:val="26"/>
        </w:rPr>
        <w:t xml:space="preserve">искането е подадено от дружество с необходимата процесуална легитимация. </w:t>
      </w:r>
    </w:p>
    <w:p w14:paraId="1B610C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Представена е скица </w:t>
      </w:r>
      <w:r>
        <w:rPr>
          <w:rFonts w:ascii="Times New Roman" w:hAnsi="Times New Roman" w:eastAsia="Times New Roman" w:cs="Times New Roman"/>
          <w:sz w:val="26"/>
          <w:szCs w:val="20"/>
        </w:rPr>
        <w:t xml:space="preserve">№15-2041241/24.09.2025г. издадена от Службата по геодезия, картография и кадастър – гр. Бургас, представляваща извадка от кадастралната карта на гр. Несебър, м.“Кокалу“,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видно от която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поземлен имот с идентификатор 51500.74.54 е с площ 2801кв.м., трайно предназначение на територията „Земеделска“ и начин на трайно ползване „Друг вид поземлен имот без определено стопанско предназначение“.</w:t>
      </w:r>
    </w:p>
    <w:p w14:paraId="6C76E23F">
      <w:pPr>
        <w:spacing w:after="0" w:line="240" w:lineRule="auto"/>
        <w:ind w:firstLine="708"/>
        <w:jc w:val="both"/>
        <w:rPr>
          <w:rFonts w:ascii="Times New Roman" w:hAnsi="Times New Roman" w:eastAsia="Calibri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libri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Имотът попада в охранителна зона „Б“ съгласно  ЗУЧК. </w:t>
      </w:r>
    </w:p>
    <w:p w14:paraId="75EFB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преписката се съдържат скица-проект и задание, които предварително са разгледани от ОбЕСУТ, който със свое решение по т.7 от Протокол №6 от 16.07.2025г. е приел разработката, със забележка да се коригира озеленената площ от 40% на 50%, след като е преценил, че е съобразен с нормите на ЗУТ, Наредба №7 за ПНУОВТУЗ и ЗУЧК. </w:t>
      </w:r>
    </w:p>
    <w:p w14:paraId="73B20C2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Приложеното към преписката задание е съобразено с изискванията на чл.125, ал.2 от ЗУТ и съгласувано по реда на чл.125, ал.7 от ЗУТ.</w:t>
      </w:r>
    </w:p>
    <w:p w14:paraId="65F7B0C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С Решение №БС-41-ПР/24.04.2026г. Директорът на РИОСВ – гр. Бургас е преценил, да не се извършва оценка на въздействието върху околната среда за инвестиционно предложение „Изграждане на цех за алуминиева дограма н ПИ 51500.74.54 по КККР на гр.Несебър, м.“Кокалу“, община Несебър“ и е посочил, че имота няма характеристика на пясъчни дюни.</w:t>
      </w:r>
    </w:p>
    <w:p w14:paraId="65DB1A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Според приложеното задание и скица-проект към него </w:t>
      </w:r>
      <w:r>
        <w:rPr>
          <w:rFonts w:ascii="Times New Roman" w:hAnsi="Times New Roman"/>
          <w:sz w:val="26"/>
          <w:szCs w:val="26"/>
        </w:rPr>
        <w:t xml:space="preserve">се </w:t>
      </w:r>
      <w:r>
        <w:rPr>
          <w:rFonts w:ascii="Times New Roman" w:hAnsi="Times New Roman"/>
          <w:color w:val="000000"/>
          <w:sz w:val="26"/>
          <w:szCs w:val="26"/>
        </w:rPr>
        <w:t>предвижда промяна предназначението на поземлен имот с идентификатор 51500.74.54 от земеделска в територия за производствени сгради /производство на алуминиева дограма/. Имота се</w:t>
      </w:r>
    </w:p>
    <w:p w14:paraId="20F26B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2F1564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2"/>
          <w:szCs w:val="12"/>
        </w:rPr>
      </w:pPr>
    </w:p>
    <w:p w14:paraId="2484560E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отрежда „За цех за алуминиева дограма“, установява се устройствена зона „Пч“, начин на застрояване – свободно основно застрояване, максимална височина на застрояване Н</w:t>
      </w:r>
      <w:r>
        <w:rPr>
          <w:rFonts w:ascii="Times New Roman" w:hAnsi="Times New Roman" w:cs="Times New Roman"/>
          <w:color w:val="000000"/>
          <w:sz w:val="26"/>
          <w:szCs w:val="26"/>
        </w:rPr>
        <w:t>≤</w:t>
      </w:r>
      <w:r>
        <w:rPr>
          <w:rFonts w:ascii="Times New Roman" w:hAnsi="Times New Roman"/>
          <w:color w:val="000000"/>
          <w:sz w:val="26"/>
          <w:szCs w:val="26"/>
        </w:rPr>
        <w:t xml:space="preserve">10,00м. и  устройствени показатели: П застр.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≤ </w:t>
      </w:r>
      <w:r>
        <w:rPr>
          <w:rFonts w:ascii="Times New Roman" w:hAnsi="Times New Roman"/>
          <w:color w:val="000000"/>
          <w:sz w:val="26"/>
          <w:szCs w:val="26"/>
        </w:rPr>
        <w:t xml:space="preserve">30%, К инт. </w:t>
      </w:r>
      <w:r>
        <w:rPr>
          <w:rFonts w:ascii="Times New Roman" w:hAnsi="Times New Roman" w:cs="Times New Roman"/>
          <w:color w:val="000000"/>
          <w:sz w:val="26"/>
          <w:szCs w:val="26"/>
        </w:rPr>
        <w:t>≤</w:t>
      </w:r>
      <w:r>
        <w:rPr>
          <w:rFonts w:ascii="Times New Roman" w:hAnsi="Times New Roman"/>
          <w:color w:val="000000"/>
          <w:sz w:val="26"/>
          <w:szCs w:val="26"/>
        </w:rPr>
        <w:t xml:space="preserve">1 ,00 и Позел. </w:t>
      </w:r>
      <w:r>
        <w:rPr>
          <w:rFonts w:ascii="Times New Roman" w:hAnsi="Times New Roman" w:cs="Times New Roman"/>
          <w:color w:val="000000"/>
          <w:sz w:val="26"/>
          <w:szCs w:val="26"/>
        </w:rPr>
        <w:t>≥ 50%.</w:t>
      </w:r>
    </w:p>
    <w:p w14:paraId="3C14D6E4">
      <w:pPr>
        <w:spacing w:after="0" w:line="240" w:lineRule="auto"/>
        <w:ind w:right="40"/>
        <w:jc w:val="both"/>
        <w:rPr>
          <w:rFonts w:ascii="Times New Roman" w:hAnsi="Times New Roman" w:eastAsia="Calibri" w:cs="Times New Roman"/>
          <w:color w:val="000000" w:themeColor="text1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3B0B8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 xml:space="preserve">Предвид горното и на основание чл. 124 а, ал. 1 от ЗУТ, във вр. с чл.21, ал.1, т.11 от ЗМСМ и във връзка с правомощията, предоставени ми със Заповед №2866/14.11.2023г. на Кмета на община Несебър,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предлагам на Общински съвет – гр. Несебър, следният проект за</w:t>
      </w:r>
    </w:p>
    <w:p w14:paraId="6EBF6969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1475A60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РЕШЕНИЕ</w:t>
      </w:r>
    </w:p>
    <w:p w14:paraId="173285C5">
      <w:pPr>
        <w:pStyle w:val="8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6CB7D613">
      <w:pPr>
        <w:pStyle w:val="8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На основание  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 xml:space="preserve">чл. 124 а, ал. 1 от ЗУТ във връзка с чл.21, ал.1, т.11 от ЗМСМА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и като взе предвид наличните по административната преписка към настоящето  предложение документи, Общински съвет – гр. Несебър, </w:t>
      </w:r>
    </w:p>
    <w:p w14:paraId="67B45D03">
      <w:pPr>
        <w:pStyle w:val="8"/>
        <w:spacing w:after="0" w:line="240" w:lineRule="auto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75EB4862">
      <w:pPr>
        <w:pStyle w:val="8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Разрешава</w:t>
      </w:r>
    </w:p>
    <w:p w14:paraId="69617660">
      <w:pPr>
        <w:pStyle w:val="8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0E794E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 бъде изработен и процедиран проект за подробен устройствен план – план за</w:t>
      </w:r>
    </w:p>
    <w:p w14:paraId="2CE2AE1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застрояване по отношение на </w:t>
      </w:r>
      <w:r>
        <w:rPr>
          <w:rFonts w:ascii="Times New Roman" w:hAnsi="Times New Roman" w:cs="Times New Roman"/>
          <w:bCs/>
          <w:sz w:val="26"/>
          <w:szCs w:val="26"/>
        </w:rPr>
        <w:t xml:space="preserve">поземлен имот с идентификатор </w:t>
      </w:r>
      <w:r>
        <w:rPr>
          <w:rFonts w:ascii="Times New Roman" w:hAnsi="Times New Roman" w:cs="Times New Roman"/>
          <w:sz w:val="26"/>
          <w:szCs w:val="26"/>
        </w:rPr>
        <w:t xml:space="preserve">51500.74.54  по КККР </w:t>
      </w:r>
      <w:r>
        <w:rPr>
          <w:rFonts w:ascii="Times New Roman" w:hAnsi="Times New Roman" w:cs="Times New Roman"/>
          <w:bCs/>
          <w:sz w:val="26"/>
          <w:szCs w:val="26"/>
        </w:rPr>
        <w:t>на град Несебър, м.„Кокалу“,</w:t>
      </w:r>
      <w:r>
        <w:rPr>
          <w:rFonts w:ascii="Times New Roman" w:hAnsi="Times New Roman" w:cs="Times New Roman"/>
          <w:sz w:val="26"/>
          <w:szCs w:val="26"/>
        </w:rPr>
        <w:t xml:space="preserve"> с който </w:t>
      </w:r>
      <w:r>
        <w:rPr>
          <w:rFonts w:ascii="Times New Roman" w:hAnsi="Times New Roman"/>
          <w:sz w:val="26"/>
          <w:szCs w:val="26"/>
        </w:rPr>
        <w:t xml:space="preserve">имота се отрежда „За цех за алуминиева дограма“, установява се устройствена зона „Пч“, начин на застрояване – свободно основно застрояване и установяване на следните показатели: П застр. </w:t>
      </w:r>
      <w:r>
        <w:rPr>
          <w:rFonts w:ascii="Times New Roman" w:hAnsi="Times New Roman" w:cs="Times New Roman"/>
          <w:sz w:val="26"/>
          <w:szCs w:val="26"/>
        </w:rPr>
        <w:t xml:space="preserve">≤ </w:t>
      </w:r>
      <w:r>
        <w:rPr>
          <w:rFonts w:ascii="Times New Roman" w:hAnsi="Times New Roman"/>
          <w:sz w:val="26"/>
          <w:szCs w:val="26"/>
        </w:rPr>
        <w:t xml:space="preserve">30%, К инт. </w:t>
      </w:r>
      <w:r>
        <w:rPr>
          <w:rFonts w:ascii="Times New Roman" w:hAnsi="Times New Roman" w:cs="Times New Roman"/>
          <w:sz w:val="26"/>
          <w:szCs w:val="26"/>
        </w:rPr>
        <w:t>≤</w:t>
      </w:r>
      <w:r>
        <w:rPr>
          <w:rFonts w:ascii="Times New Roman" w:hAnsi="Times New Roman"/>
          <w:sz w:val="26"/>
          <w:szCs w:val="26"/>
        </w:rPr>
        <w:t xml:space="preserve">1 ,00, Позел. </w:t>
      </w:r>
      <w:r>
        <w:rPr>
          <w:rFonts w:ascii="Times New Roman" w:hAnsi="Times New Roman" w:cs="Times New Roman"/>
          <w:sz w:val="26"/>
          <w:szCs w:val="26"/>
        </w:rPr>
        <w:t xml:space="preserve">≥ 50% и </w:t>
      </w:r>
      <w:r>
        <w:rPr>
          <w:rFonts w:ascii="Times New Roman" w:hAnsi="Times New Roman"/>
          <w:sz w:val="26"/>
          <w:szCs w:val="26"/>
        </w:rPr>
        <w:t>максимална височина на застрояване Н</w:t>
      </w:r>
      <w:r>
        <w:rPr>
          <w:rFonts w:ascii="Times New Roman" w:hAnsi="Times New Roman" w:cs="Times New Roman"/>
          <w:sz w:val="26"/>
          <w:szCs w:val="26"/>
        </w:rPr>
        <w:t>≤</w:t>
      </w:r>
      <w:r>
        <w:rPr>
          <w:rFonts w:ascii="Times New Roman" w:hAnsi="Times New Roman"/>
          <w:sz w:val="26"/>
          <w:szCs w:val="26"/>
        </w:rPr>
        <w:t xml:space="preserve">10,00м. </w:t>
      </w:r>
      <w:r>
        <w:rPr>
          <w:rFonts w:ascii="Times New Roman" w:hAnsi="Times New Roman" w:cs="Times New Roman"/>
          <w:sz w:val="26"/>
          <w:szCs w:val="26"/>
        </w:rPr>
        <w:t>Проектът да се изработи и процедира при спазване на нормативните изисквания, както и на всички указания и изисквания на съответните компетентни органи дадени в рамките на техните правомощия.</w:t>
      </w:r>
    </w:p>
    <w:p w14:paraId="1D94FF18">
      <w:pPr>
        <w:pStyle w:val="8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На основание  чл. 124 б, ал. 1 от ЗУТ, Общински съвет – гр. Несебър одобрява</w:t>
      </w:r>
    </w:p>
    <w:p w14:paraId="49DFAA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приложеното задание по чл. 125 от ЗУТ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за ПУП-ПЗ на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поземлен имот с идентификатор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51500.74.54  по КККР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на град Несебър, м.„Кокалу“,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с площ 2801кв.м., трайно предназначение на територията „Земеделска“ и начин на трайно ползване „Друг вид поземлен имот без определено стопанско предназначение“.</w:t>
      </w:r>
    </w:p>
    <w:p w14:paraId="5BA5C3B5">
      <w:pPr>
        <w:pStyle w:val="8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A0F063D">
      <w:pPr>
        <w:pStyle w:val="9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Решението да се разгласи по реда на чл. 124 б, ал.2 чрез обявление, което да се постави на определеното място в сградата на общината и да се публикува на интернет страницата на общината.</w:t>
      </w:r>
    </w:p>
    <w:p w14:paraId="258BFB8C">
      <w:pPr>
        <w:pStyle w:val="8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основание чл. 124 б, ал. 4 настоящото решение не подлежи на оспорване.</w:t>
      </w:r>
    </w:p>
    <w:p w14:paraId="235C3F99">
      <w:pPr>
        <w:jc w:val="right"/>
        <w:rPr>
          <w:rFonts w:ascii="Times New Roman" w:hAnsi="Times New Roman" w:eastAsia="Times New Roman"/>
          <w:b/>
          <w:sz w:val="26"/>
          <w:szCs w:val="26"/>
        </w:rPr>
      </w:pPr>
    </w:p>
    <w:p w14:paraId="018A3F81">
      <w:pPr>
        <w:jc w:val="right"/>
        <w:rPr>
          <w:rFonts w:ascii="Times New Roman" w:hAnsi="Times New Roman"/>
          <w:b/>
          <w:sz w:val="26"/>
          <w:szCs w:val="26"/>
        </w:rPr>
      </w:pPr>
    </w:p>
    <w:p w14:paraId="6D85A15A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</w:p>
    <w:p w14:paraId="70827C5E">
      <w:pPr>
        <w:spacing w:after="0" w:line="240" w:lineRule="auto"/>
        <w:rPr>
          <w:rFonts w:ascii="Times New Roman" w:hAnsi="Times New Roman" w:eastAsia="Calibri"/>
          <w:b/>
          <w:sz w:val="27"/>
          <w:szCs w:val="27"/>
        </w:rPr>
      </w:pPr>
      <w:r>
        <w:rPr>
          <w:rFonts w:ascii="Times New Roman" w:hAnsi="Times New Roman" w:eastAsia="Calibri"/>
          <w:b/>
          <w:sz w:val="27"/>
          <w:szCs w:val="27"/>
        </w:rPr>
        <w:t xml:space="preserve">                                                   ВИКТОР  БОРИСОВ  БОРИСОВ</w:t>
      </w:r>
      <w:r>
        <w:rPr>
          <w:rFonts w:ascii="Times New Roman" w:hAnsi="Times New Roman" w:eastAsia="Calibri"/>
          <w:sz w:val="16"/>
          <w:szCs w:val="16"/>
        </w:rPr>
        <w:t xml:space="preserve"> ………………….………….. </w:t>
      </w:r>
      <w:r>
        <w:rPr>
          <w:rFonts w:ascii="Times New Roman" w:hAnsi="Times New Roman" w:eastAsia="Calibri"/>
          <w:sz w:val="27"/>
          <w:szCs w:val="27"/>
        </w:rPr>
        <w:t xml:space="preserve">                                                                   </w:t>
      </w:r>
      <w:r>
        <w:rPr>
          <w:rFonts w:ascii="Times New Roman" w:hAnsi="Times New Roman" w:eastAsia="Calibri"/>
          <w:b/>
          <w:sz w:val="27"/>
          <w:szCs w:val="27"/>
        </w:rPr>
        <w:t xml:space="preserve">          </w:t>
      </w:r>
    </w:p>
    <w:p w14:paraId="2C5CAFCC">
      <w:pPr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  <w:sz w:val="27"/>
          <w:szCs w:val="27"/>
        </w:rPr>
        <w:t xml:space="preserve">                                                   </w:t>
      </w:r>
      <w:r>
        <w:rPr>
          <w:rFonts w:ascii="Times New Roman" w:hAnsi="Times New Roman" w:eastAsia="Calibri"/>
        </w:rPr>
        <w:t xml:space="preserve">Зам. Кмет „Правно обслужване и общинска собственост“ </w:t>
      </w:r>
    </w:p>
    <w:p w14:paraId="72738884">
      <w:pPr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</w:rPr>
        <w:t xml:space="preserve">                                                               Упълномощен съгласно Заповед №2866/14.11.2023г.    </w:t>
      </w:r>
    </w:p>
    <w:p w14:paraId="7A7EB37B">
      <w:pPr>
        <w:spacing w:after="160" w:line="256" w:lineRule="auto"/>
        <w:rPr>
          <w:rFonts w:ascii="Times New Roman" w:hAnsi="Times New Roman" w:eastAsia="Calibri"/>
          <w:sz w:val="28"/>
          <w:szCs w:val="28"/>
        </w:rPr>
      </w:pPr>
    </w:p>
    <w:p w14:paraId="76210983">
      <w:pPr>
        <w:spacing w:after="160" w:line="256" w:lineRule="auto"/>
        <w:rPr>
          <w:rFonts w:ascii="Times New Roman" w:hAnsi="Times New Roman" w:eastAsia="Calibri"/>
          <w:sz w:val="16"/>
          <w:szCs w:val="16"/>
        </w:rPr>
      </w:pPr>
      <w:r>
        <w:rPr>
          <w:rFonts w:ascii="Times New Roman" w:hAnsi="Times New Roman" w:eastAsia="Calibri"/>
          <w:sz w:val="20"/>
        </w:rPr>
        <w:t>Съгласувал:</w:t>
      </w:r>
      <w:r>
        <w:rPr>
          <w:rFonts w:ascii="Times New Roman" w:hAnsi="Times New Roman" w:eastAsia="Calibri"/>
          <w:sz w:val="16"/>
          <w:szCs w:val="16"/>
        </w:rPr>
        <w:t xml:space="preserve"> </w:t>
      </w:r>
      <w:r>
        <w:rPr>
          <w:rFonts w:ascii="Times New Roman" w:hAnsi="Times New Roman" w:eastAsia="Calibri"/>
          <w:sz w:val="20"/>
        </w:rPr>
        <w:t xml:space="preserve">адв. Ц. Вичева </w:t>
      </w:r>
      <w:r>
        <w:rPr>
          <w:rFonts w:ascii="Times New Roman" w:hAnsi="Times New Roman" w:eastAsia="Calibri"/>
          <w:sz w:val="16"/>
          <w:szCs w:val="16"/>
        </w:rPr>
        <w:t>………………..</w:t>
      </w:r>
    </w:p>
    <w:p w14:paraId="5DE4DBD9">
      <w:r>
        <w:rPr>
          <w:rFonts w:ascii="Times New Roman" w:hAnsi="Times New Roman" w:eastAsia="Calibri"/>
          <w:sz w:val="20"/>
        </w:rPr>
        <w:t>Изготвил: М. Караджова,  гл. специалист „УТ“:</w:t>
      </w:r>
      <w:r>
        <w:rPr>
          <w:rFonts w:ascii="Times New Roman" w:hAnsi="Times New Roman" w:eastAsia="Calibri"/>
          <w:sz w:val="16"/>
          <w:szCs w:val="16"/>
        </w:rPr>
        <w:t>..……..…….</w:t>
      </w:r>
      <w:r>
        <w:rPr>
          <w:rFonts w:ascii="Times New Roman" w:hAnsi="Times New Roman" w:eastAsia="Calibri"/>
          <w:b/>
          <w:sz w:val="16"/>
          <w:szCs w:val="16"/>
        </w:rPr>
        <w:t xml:space="preserve">  </w:t>
      </w:r>
      <w:r>
        <w:rPr>
          <w:rFonts w:ascii="Times New Roman" w:hAnsi="Times New Roman" w:eastAsia="Calibri"/>
          <w:b/>
          <w:sz w:val="27"/>
          <w:szCs w:val="27"/>
        </w:rPr>
        <w:t xml:space="preserve">                       </w:t>
      </w:r>
      <w:r>
        <w:t xml:space="preserve"> </w:t>
      </w:r>
    </w:p>
    <w:sectPr>
      <w:headerReference r:id="rId5" w:type="default"/>
      <w:pgSz w:w="11906" w:h="16838"/>
      <w:pgMar w:top="1843" w:right="849" w:bottom="993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okU">
    <w:altName w:val="Courier New"/>
    <w:panose1 w:val="00000000000000000000"/>
    <w:charset w:val="00"/>
    <w:family w:val="auto"/>
    <w:pitch w:val="default"/>
    <w:sig w:usb0="00000000" w:usb1="00000000" w:usb2="00000000" w:usb3="00000000" w:csb0="000000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B3160">
    <w:pPr>
      <w:pStyle w:val="12"/>
    </w:pPr>
    <w:r>
      <w:rPr>
        <w:lang w:eastAsia="bg-BG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4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B27CE3"/>
    <w:multiLevelType w:val="multilevel"/>
    <w:tmpl w:val="58B27CE3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5"/>
    <w:rsid w:val="00035958"/>
    <w:rsid w:val="00035A03"/>
    <w:rsid w:val="000360BD"/>
    <w:rsid w:val="00062C8A"/>
    <w:rsid w:val="00080B58"/>
    <w:rsid w:val="000D3B8F"/>
    <w:rsid w:val="000E081E"/>
    <w:rsid w:val="000F0BC3"/>
    <w:rsid w:val="000F7BBE"/>
    <w:rsid w:val="001078BC"/>
    <w:rsid w:val="001311CB"/>
    <w:rsid w:val="001768D9"/>
    <w:rsid w:val="00177717"/>
    <w:rsid w:val="001A1BB5"/>
    <w:rsid w:val="00200D76"/>
    <w:rsid w:val="00222EAF"/>
    <w:rsid w:val="00224615"/>
    <w:rsid w:val="00261321"/>
    <w:rsid w:val="00272D75"/>
    <w:rsid w:val="0028680E"/>
    <w:rsid w:val="002C1761"/>
    <w:rsid w:val="00316D0F"/>
    <w:rsid w:val="00367A9D"/>
    <w:rsid w:val="00374FCB"/>
    <w:rsid w:val="00382198"/>
    <w:rsid w:val="0038402D"/>
    <w:rsid w:val="003A0AF7"/>
    <w:rsid w:val="003B3429"/>
    <w:rsid w:val="00402C1D"/>
    <w:rsid w:val="00403F03"/>
    <w:rsid w:val="00433AEC"/>
    <w:rsid w:val="00440CBA"/>
    <w:rsid w:val="004422AC"/>
    <w:rsid w:val="00461D8E"/>
    <w:rsid w:val="00466C77"/>
    <w:rsid w:val="004A50A8"/>
    <w:rsid w:val="004B48DC"/>
    <w:rsid w:val="004D1B71"/>
    <w:rsid w:val="004F0E4B"/>
    <w:rsid w:val="00534A04"/>
    <w:rsid w:val="005456BA"/>
    <w:rsid w:val="005612DD"/>
    <w:rsid w:val="00563EB2"/>
    <w:rsid w:val="005648A9"/>
    <w:rsid w:val="005727D2"/>
    <w:rsid w:val="00574480"/>
    <w:rsid w:val="005B1349"/>
    <w:rsid w:val="005C1C62"/>
    <w:rsid w:val="00615AF3"/>
    <w:rsid w:val="00631FA8"/>
    <w:rsid w:val="00644356"/>
    <w:rsid w:val="00654F38"/>
    <w:rsid w:val="006703E0"/>
    <w:rsid w:val="006B2688"/>
    <w:rsid w:val="006C25F5"/>
    <w:rsid w:val="006D3BF1"/>
    <w:rsid w:val="007215A9"/>
    <w:rsid w:val="00731205"/>
    <w:rsid w:val="00740AA8"/>
    <w:rsid w:val="007E4D0F"/>
    <w:rsid w:val="007E70E1"/>
    <w:rsid w:val="007F4B64"/>
    <w:rsid w:val="008234AE"/>
    <w:rsid w:val="008D2945"/>
    <w:rsid w:val="00926DF3"/>
    <w:rsid w:val="00943F81"/>
    <w:rsid w:val="00957A4A"/>
    <w:rsid w:val="009F1548"/>
    <w:rsid w:val="009F192C"/>
    <w:rsid w:val="00A612C6"/>
    <w:rsid w:val="00B33AA7"/>
    <w:rsid w:val="00B63E59"/>
    <w:rsid w:val="00B91698"/>
    <w:rsid w:val="00C37463"/>
    <w:rsid w:val="00CA7352"/>
    <w:rsid w:val="00CB2990"/>
    <w:rsid w:val="00CB5875"/>
    <w:rsid w:val="00CE4C93"/>
    <w:rsid w:val="00CF00E9"/>
    <w:rsid w:val="00D07DCF"/>
    <w:rsid w:val="00D522D7"/>
    <w:rsid w:val="00D85BA8"/>
    <w:rsid w:val="00D94016"/>
    <w:rsid w:val="00D96B43"/>
    <w:rsid w:val="00DB5E58"/>
    <w:rsid w:val="00DD4C9F"/>
    <w:rsid w:val="00E4641B"/>
    <w:rsid w:val="00E62C83"/>
    <w:rsid w:val="00E85408"/>
    <w:rsid w:val="00EC3DF9"/>
    <w:rsid w:val="00EC6A0E"/>
    <w:rsid w:val="00F33391"/>
    <w:rsid w:val="00FE5905"/>
    <w:rsid w:val="2127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bg-BG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17"/>
    <w:unhideWhenUsed/>
    <w:qFormat/>
    <w:uiPriority w:val="0"/>
    <w:pPr>
      <w:keepNext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  <w:lang w:val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16"/>
    <w:semiHidden/>
    <w:unhideWhenUsed/>
    <w:qFormat/>
    <w:uiPriority w:val="0"/>
    <w:pPr>
      <w:spacing w:after="0" w:line="240" w:lineRule="auto"/>
      <w:jc w:val="both"/>
    </w:pPr>
    <w:rPr>
      <w:rFonts w:ascii="TimokU" w:hAnsi="TimokU" w:eastAsia="Times New Roman" w:cs="Times New Roman"/>
      <w:sz w:val="28"/>
      <w:szCs w:val="20"/>
    </w:rPr>
  </w:style>
  <w:style w:type="paragraph" w:styleId="8">
    <w:name w:val="Body Text 2"/>
    <w:basedOn w:val="1"/>
    <w:link w:val="22"/>
    <w:semiHidden/>
    <w:unhideWhenUsed/>
    <w:qFormat/>
    <w:uiPriority w:val="99"/>
    <w:pPr>
      <w:spacing w:after="120" w:line="480" w:lineRule="auto"/>
    </w:pPr>
  </w:style>
  <w:style w:type="paragraph" w:styleId="9">
    <w:name w:val="Body Text Indent"/>
    <w:basedOn w:val="1"/>
    <w:link w:val="19"/>
    <w:semiHidden/>
    <w:unhideWhenUsed/>
    <w:qFormat/>
    <w:uiPriority w:val="99"/>
    <w:pPr>
      <w:spacing w:after="120"/>
      <w:ind w:left="283"/>
    </w:pPr>
  </w:style>
  <w:style w:type="character" w:styleId="10">
    <w:name w:val="Emphasis"/>
    <w:basedOn w:val="4"/>
    <w:qFormat/>
    <w:uiPriority w:val="0"/>
    <w:rPr>
      <w:i/>
      <w:iCs/>
    </w:rPr>
  </w:style>
  <w:style w:type="paragraph" w:styleId="11">
    <w:name w:val="footer"/>
    <w:basedOn w:val="1"/>
    <w:link w:val="14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2">
    <w:name w:val="header"/>
    <w:basedOn w:val="1"/>
    <w:link w:val="13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3">
    <w:name w:val="Горен колонтитул Знак"/>
    <w:basedOn w:val="4"/>
    <w:link w:val="12"/>
    <w:uiPriority w:val="99"/>
  </w:style>
  <w:style w:type="character" w:customStyle="1" w:styleId="14">
    <w:name w:val="Долен колонтитул Знак"/>
    <w:basedOn w:val="4"/>
    <w:link w:val="11"/>
    <w:qFormat/>
    <w:uiPriority w:val="99"/>
  </w:style>
  <w:style w:type="character" w:customStyle="1" w:styleId="15">
    <w:name w:val="Изнесен текст Знак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6">
    <w:name w:val="Основен текст Знак"/>
    <w:basedOn w:val="4"/>
    <w:link w:val="7"/>
    <w:semiHidden/>
    <w:qFormat/>
    <w:uiPriority w:val="0"/>
    <w:rPr>
      <w:rFonts w:ascii="TimokU" w:hAnsi="TimokU" w:eastAsia="Times New Roman" w:cs="Times New Roman"/>
      <w:sz w:val="28"/>
      <w:szCs w:val="20"/>
    </w:rPr>
  </w:style>
  <w:style w:type="character" w:customStyle="1" w:styleId="17">
    <w:name w:val="Заглавие 2 Знак"/>
    <w:basedOn w:val="4"/>
    <w:link w:val="3"/>
    <w:qFormat/>
    <w:uiPriority w:val="0"/>
    <w:rPr>
      <w:rFonts w:ascii="Arial" w:hAnsi="Arial" w:eastAsia="Times New Roman" w:cs="Arial"/>
      <w:b/>
      <w:bCs/>
      <w:i/>
      <w:iCs/>
      <w:sz w:val="28"/>
      <w:szCs w:val="28"/>
      <w:lang w:val="en-US"/>
    </w:rPr>
  </w:style>
  <w:style w:type="character" w:customStyle="1" w:styleId="18">
    <w:name w:val="Заглавие 1 Знак"/>
    <w:basedOn w:val="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19">
    <w:name w:val="Основен текст с отстъп Знак"/>
    <w:basedOn w:val="4"/>
    <w:link w:val="9"/>
    <w:semiHidden/>
    <w:qFormat/>
    <w:uiPriority w:val="99"/>
  </w:style>
  <w:style w:type="paragraph" w:styleId="20">
    <w:name w:val="List Paragraph"/>
    <w:basedOn w:val="1"/>
    <w:qFormat/>
    <w:uiPriority w:val="34"/>
    <w:pPr>
      <w:spacing w:after="0"/>
      <w:ind w:left="720"/>
      <w:contextualSpacing/>
    </w:pPr>
    <w:rPr>
      <w:rFonts w:ascii="Arial" w:hAnsi="Arial" w:eastAsia="Arial" w:cs="Arial"/>
      <w:lang w:eastAsia="bg-BG"/>
    </w:rPr>
  </w:style>
  <w:style w:type="character" w:customStyle="1" w:styleId="21">
    <w:name w:val="newdocreference"/>
    <w:basedOn w:val="4"/>
    <w:qFormat/>
    <w:uiPriority w:val="0"/>
  </w:style>
  <w:style w:type="character" w:customStyle="1" w:styleId="22">
    <w:name w:val="Основен текст 2 Знак"/>
    <w:basedOn w:val="4"/>
    <w:link w:val="8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AD7A1-762B-4922-88FC-E36774C754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716</Words>
  <Characters>3994</Characters>
  <Lines>35</Lines>
  <Paragraphs>10</Paragraphs>
  <TotalTime>77</TotalTime>
  <ScaleCrop>false</ScaleCrop>
  <LinksUpToDate>false</LinksUpToDate>
  <CharactersWithSpaces>4976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2026-06-01T12:18:00Z</dcterms:created>
  <dc:creator>Njo-Njo</dc:creator>
  <cp:lastModifiedBy>Computerone</cp:lastModifiedBy>
  <cp:lastPrinted>2026-06-09T12:18:00Z</cp:lastPrinted>
  <dcterms:modified xsi:type="dcterms:W3CDTF">2026-08-31T12:31:15Z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eyJoZGlkIjoiZGU0MTMzY2UyOWU1MTkwYjBjNmFhM2VmYTdhZWVlNTgifQ==</vt:lpwstr>
  </property>
  <property fmtid="{D5CDD505-2E9C-101B-9397-08002B2CF9AE}" pid="3" name="KSOProductBuildVer">
    <vt:lpwstr>1033-12.1.0.28032</vt:lpwstr>
  </property>
  <property fmtid="{D5CDD505-2E9C-101B-9397-08002B2CF9AE}" pid="4" name="ICV">
    <vt:lpwstr>0ED68D99A4D746D093816B55B83115B7_12</vt:lpwstr>
  </property>
</Properties>
</file>